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Georgia" w:eastAsia="Times New Roman" w:hAnsi="Georgia" w:cs="Open Sans"/>
          <w:b/>
          <w:bCs/>
          <w:color w:val="212121"/>
          <w:sz w:val="21"/>
          <w:szCs w:val="21"/>
          <w:lang w:eastAsia="ru-RU"/>
        </w:rPr>
        <w:t>Министерство культуры Ставропольского края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Georgia" w:eastAsia="Times New Roman" w:hAnsi="Georgia" w:cs="Open Sans"/>
          <w:b/>
          <w:bCs/>
          <w:color w:val="212121"/>
          <w:sz w:val="21"/>
          <w:szCs w:val="21"/>
          <w:lang w:eastAsia="ru-RU"/>
        </w:rPr>
        <w:t>Государственное бюджетное профессиональное образовательное учреждение Ставропольского края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Georgia" w:eastAsia="Times New Roman" w:hAnsi="Georgia" w:cs="Open Sans"/>
          <w:b/>
          <w:bCs/>
          <w:color w:val="212121"/>
          <w:sz w:val="21"/>
          <w:szCs w:val="21"/>
          <w:lang w:eastAsia="ru-RU"/>
        </w:rPr>
        <w:t>«Ставропольский краевой музыкальный колледж им. В.И. Сафонова» (г. Минеральные Воды)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Georgia" w:eastAsia="Times New Roman" w:hAnsi="Georgia" w:cs="Open Sans"/>
          <w:b/>
          <w:bCs/>
          <w:color w:val="212121"/>
          <w:sz w:val="21"/>
          <w:szCs w:val="21"/>
          <w:lang w:eastAsia="ru-RU"/>
        </w:rPr>
        <w:t>(ГБПОУ СК СКМК им. Сафонова)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left="555" w:right="795"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Стоимость обучения   на 2021-2022 учебный год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left="555" w:right="795"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дополнительному образованию подвида «Дополнительное образование детей и взрослых»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left="555" w:right="795"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(Подготовительные курсы)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left="555" w:right="795"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шесть месяцев по договору на условиях оплаты обучения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left="555" w:right="795" w:firstLine="560"/>
        <w:jc w:val="center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  <w:t> 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образовательной программы Подготовительных курсов осуществляется по направлениям специальностей, реализуемых в Учреждении: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51.02.01 Народное художественное творчество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 видам): </w:t>
      </w:r>
      <w:r w:rsidRPr="00D564F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Хореографическое творчество;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</w:t>
      </w: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52.02.04 Актерское искусство;</w:t>
      </w:r>
    </w:p>
    <w:p w:rsidR="00D564F7" w:rsidRPr="00D564F7" w:rsidRDefault="00D564F7" w:rsidP="00D564F7">
      <w:pPr>
        <w:shd w:val="clear" w:color="auto" w:fill="FFFFFF"/>
        <w:spacing w:before="75" w:after="75" w:line="240" w:lineRule="auto"/>
        <w:ind w:firstLine="708"/>
        <w:jc w:val="both"/>
        <w:outlineLvl w:val="0"/>
        <w:rPr>
          <w:rFonts w:ascii="Open Sans Condensed" w:eastAsia="Times New Roman" w:hAnsi="Open Sans Condensed" w:cs="Times New Roman"/>
          <w:color w:val="212121"/>
          <w:kern w:val="36"/>
          <w:sz w:val="53"/>
          <w:szCs w:val="53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53.02.02 Музыкальное искусство эстрады (по видам): </w:t>
      </w:r>
      <w:r w:rsidRPr="00D564F7">
        <w:rPr>
          <w:rFonts w:ascii="Times New Roman" w:eastAsia="Times New Roman" w:hAnsi="Times New Roman" w:cs="Times New Roman"/>
          <w:i/>
          <w:iCs/>
          <w:color w:val="212121"/>
          <w:kern w:val="36"/>
          <w:sz w:val="28"/>
          <w:szCs w:val="28"/>
          <w:lang w:eastAsia="ru-RU"/>
        </w:rPr>
        <w:t>Инструменты эстрадного оркестра; Эстрадное пение;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53.02.03 Инструментальное исполнительство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56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 видам инструментов): </w:t>
      </w:r>
      <w:r w:rsidRPr="00D564F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Фортепиано; Оркестровые струнные инструменты; Оркестровые духовые и ударные инструменты; Инструменты народного оркестра;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53.02.04 Вокальное искусство;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53.02.06 Хоровое </w:t>
      </w:r>
      <w:proofErr w:type="spellStart"/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дирижирование</w:t>
      </w:r>
      <w:proofErr w:type="spellEnd"/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53.02.07 Теория музыки.</w:t>
      </w:r>
    </w:p>
    <w:p w:rsidR="00D564F7" w:rsidRPr="00D564F7" w:rsidRDefault="00D564F7" w:rsidP="00D56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D564F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Стоимость (руб.) за весь период обучения (шесть месяцев) составляет 30982,68.</w:t>
      </w:r>
    </w:p>
    <w:p w:rsidR="001E3D01" w:rsidRDefault="00D564F7">
      <w:bookmarkStart w:id="0" w:name="_GoBack"/>
      <w:bookmarkEnd w:id="0"/>
    </w:p>
    <w:sectPr w:rsidR="001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7"/>
    <w:rsid w:val="007679B9"/>
    <w:rsid w:val="007A08F5"/>
    <w:rsid w:val="00D564F7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62EC-49D5-4E6B-94C1-0FA8181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Вавакин Антон</dc:creator>
  <cp:keywords/>
  <dc:description/>
  <cp:lastModifiedBy>Вавакин Антон</cp:lastModifiedBy>
  <cp:revision>1</cp:revision>
  <dcterms:created xsi:type="dcterms:W3CDTF">2022-01-16T17:05:00Z</dcterms:created>
  <dcterms:modified xsi:type="dcterms:W3CDTF">2022-01-16T17:05:00Z</dcterms:modified>
</cp:coreProperties>
</file>